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7D9" w:rsidRPr="004707D9" w:rsidRDefault="004707D9" w:rsidP="004707D9">
      <w:pPr>
        <w:shd w:val="clear" w:color="auto" w:fill="FFFFFF"/>
        <w:spacing w:after="240" w:line="240" w:lineRule="auto"/>
        <w:textAlignment w:val="baseline"/>
        <w:outlineLvl w:val="2"/>
        <w:rPr>
          <w:rFonts w:ascii="Arial" w:eastAsia="Times New Roman" w:hAnsi="Arial" w:cs="Arial"/>
          <w:color w:val="111111"/>
          <w:sz w:val="34"/>
          <w:szCs w:val="34"/>
          <w:lang w:eastAsia="es-AR"/>
        </w:rPr>
      </w:pPr>
      <w:r w:rsidRPr="004707D9">
        <w:rPr>
          <w:rFonts w:ascii="Arial" w:eastAsia="Times New Roman" w:hAnsi="Arial" w:cs="Arial"/>
          <w:color w:val="111111"/>
          <w:sz w:val="34"/>
          <w:szCs w:val="34"/>
          <w:lang w:eastAsia="es-AR"/>
        </w:rPr>
        <w:t>En Asesoría de Menores:</w:t>
      </w:r>
    </w:p>
    <w:p w:rsidR="004707D9" w:rsidRDefault="004707D9" w:rsidP="004707D9">
      <w:pPr>
        <w:shd w:val="clear" w:color="auto" w:fill="FFFFFF"/>
        <w:spacing w:after="360" w:line="240" w:lineRule="auto"/>
        <w:jc w:val="both"/>
        <w:textAlignment w:val="baseline"/>
        <w:rPr>
          <w:rFonts w:ascii="Arial" w:eastAsia="Times New Roman" w:hAnsi="Arial" w:cs="Arial"/>
          <w:color w:val="555555"/>
          <w:sz w:val="24"/>
          <w:szCs w:val="20"/>
          <w:lang w:eastAsia="es-AR"/>
        </w:rPr>
      </w:pPr>
      <w:r w:rsidRPr="004707D9">
        <w:rPr>
          <w:rFonts w:ascii="Arial" w:eastAsia="Times New Roman" w:hAnsi="Arial" w:cs="Arial"/>
          <w:color w:val="555555"/>
          <w:sz w:val="24"/>
          <w:szCs w:val="20"/>
          <w:lang w:eastAsia="es-AR"/>
        </w:rPr>
        <w:t>Ante los reclamos de incumplimiento por parte de las beneficiarias (representantes legales de los menores que ejercen la tenencia, que puede ser cualquiera de los dos padres), que se presentan por ante los Asesores Oficiales de Menores de la Primera Circunscripción Judicial-Capital:</w:t>
      </w:r>
    </w:p>
    <w:p w:rsidR="004707D9" w:rsidRPr="004707D9" w:rsidRDefault="004707D9" w:rsidP="004707D9">
      <w:pPr>
        <w:pStyle w:val="Prrafodelista"/>
        <w:numPr>
          <w:ilvl w:val="0"/>
          <w:numId w:val="1"/>
        </w:numPr>
        <w:shd w:val="clear" w:color="auto" w:fill="FFFFFF"/>
        <w:spacing w:after="360" w:line="240" w:lineRule="auto"/>
        <w:jc w:val="both"/>
        <w:textAlignment w:val="baseline"/>
        <w:rPr>
          <w:rFonts w:ascii="Arial" w:eastAsia="Times New Roman" w:hAnsi="Arial" w:cs="Arial"/>
          <w:color w:val="555555"/>
          <w:sz w:val="24"/>
          <w:szCs w:val="20"/>
          <w:lang w:eastAsia="es-AR"/>
        </w:rPr>
      </w:pPr>
      <w:r w:rsidRPr="004707D9">
        <w:rPr>
          <w:rFonts w:ascii="Arial" w:eastAsia="Times New Roman" w:hAnsi="Arial" w:cs="Arial"/>
          <w:color w:val="555555"/>
          <w:sz w:val="24"/>
          <w:szCs w:val="20"/>
          <w:lang w:eastAsia="es-AR"/>
        </w:rPr>
        <w:t>-el Asesor/a por ante el cual se han fijado los alimentos, en el caso concreto, si considera que corresponde inscribir al alimentante:</w:t>
      </w:r>
    </w:p>
    <w:p w:rsidR="004707D9" w:rsidRPr="004707D9" w:rsidRDefault="004707D9" w:rsidP="004707D9">
      <w:pPr>
        <w:pStyle w:val="Prrafodelista"/>
        <w:numPr>
          <w:ilvl w:val="0"/>
          <w:numId w:val="1"/>
        </w:numPr>
        <w:shd w:val="clear" w:color="auto" w:fill="FFFFFF"/>
        <w:spacing w:after="360" w:line="240" w:lineRule="auto"/>
        <w:jc w:val="both"/>
        <w:textAlignment w:val="baseline"/>
        <w:rPr>
          <w:rFonts w:ascii="Arial" w:eastAsia="Times New Roman" w:hAnsi="Arial" w:cs="Arial"/>
          <w:color w:val="555555"/>
          <w:sz w:val="24"/>
          <w:szCs w:val="20"/>
          <w:lang w:eastAsia="es-AR"/>
        </w:rPr>
      </w:pPr>
      <w:r w:rsidRPr="004707D9">
        <w:rPr>
          <w:rFonts w:ascii="Arial" w:eastAsia="Times New Roman" w:hAnsi="Arial" w:cs="Arial"/>
          <w:color w:val="555555"/>
          <w:sz w:val="24"/>
          <w:szCs w:val="20"/>
          <w:lang w:eastAsia="es-AR"/>
        </w:rPr>
        <w:t>-ante el reclamo de la progenitora, cita al alimentante a los fines de notificarlo e intimarlo a que regularice su situación,</w:t>
      </w:r>
    </w:p>
    <w:p w:rsidR="004707D9" w:rsidRPr="004707D9" w:rsidRDefault="004707D9" w:rsidP="004707D9">
      <w:pPr>
        <w:pStyle w:val="Prrafodelista"/>
        <w:numPr>
          <w:ilvl w:val="0"/>
          <w:numId w:val="1"/>
        </w:numPr>
        <w:shd w:val="clear" w:color="auto" w:fill="FFFFFF"/>
        <w:spacing w:after="360" w:line="240" w:lineRule="auto"/>
        <w:jc w:val="both"/>
        <w:textAlignment w:val="baseline"/>
        <w:rPr>
          <w:rFonts w:ascii="Arial" w:eastAsia="Times New Roman" w:hAnsi="Arial" w:cs="Arial"/>
          <w:color w:val="555555"/>
          <w:sz w:val="24"/>
          <w:szCs w:val="20"/>
          <w:lang w:eastAsia="es-AR"/>
        </w:rPr>
      </w:pPr>
      <w:r w:rsidRPr="004707D9">
        <w:rPr>
          <w:rFonts w:ascii="Arial" w:eastAsia="Times New Roman" w:hAnsi="Arial" w:cs="Arial"/>
          <w:color w:val="555555"/>
          <w:sz w:val="24"/>
          <w:szCs w:val="20"/>
          <w:lang w:eastAsia="es-AR"/>
        </w:rPr>
        <w:t>-a la beneficiaria se le solicita presente la constancia de la cuenta bancaria sin movimiento (si es que se le asignó un número de cuenta bancaria al alimentante.-</w:t>
      </w:r>
    </w:p>
    <w:p w:rsidR="004707D9" w:rsidRPr="004707D9" w:rsidRDefault="004707D9" w:rsidP="004707D9">
      <w:pPr>
        <w:pStyle w:val="Prrafodelista"/>
        <w:numPr>
          <w:ilvl w:val="0"/>
          <w:numId w:val="1"/>
        </w:numPr>
        <w:shd w:val="clear" w:color="auto" w:fill="FFFFFF"/>
        <w:spacing w:after="360" w:line="240" w:lineRule="auto"/>
        <w:jc w:val="both"/>
        <w:textAlignment w:val="baseline"/>
        <w:rPr>
          <w:rFonts w:ascii="Arial" w:eastAsia="Times New Roman" w:hAnsi="Arial" w:cs="Arial"/>
          <w:color w:val="555555"/>
          <w:sz w:val="24"/>
          <w:szCs w:val="20"/>
          <w:lang w:eastAsia="es-AR"/>
        </w:rPr>
      </w:pPr>
      <w:r w:rsidRPr="004707D9">
        <w:rPr>
          <w:rFonts w:ascii="Arial" w:eastAsia="Times New Roman" w:hAnsi="Arial" w:cs="Arial"/>
          <w:color w:val="555555"/>
          <w:sz w:val="24"/>
          <w:szCs w:val="20"/>
          <w:lang w:eastAsia="es-AR"/>
        </w:rPr>
        <w:t>-luego oficia al Registro consignando todos los ítems del caso (ver modelo),</w:t>
      </w:r>
    </w:p>
    <w:p w:rsidR="004707D9" w:rsidRPr="004707D9" w:rsidRDefault="004707D9" w:rsidP="004707D9">
      <w:pPr>
        <w:pStyle w:val="Prrafodelista"/>
        <w:numPr>
          <w:ilvl w:val="0"/>
          <w:numId w:val="1"/>
        </w:numPr>
        <w:shd w:val="clear" w:color="auto" w:fill="FFFFFF"/>
        <w:spacing w:after="360" w:line="240" w:lineRule="auto"/>
        <w:jc w:val="both"/>
        <w:textAlignment w:val="baseline"/>
        <w:rPr>
          <w:rFonts w:ascii="Arial" w:eastAsia="Times New Roman" w:hAnsi="Arial" w:cs="Arial"/>
          <w:color w:val="555555"/>
          <w:sz w:val="24"/>
          <w:szCs w:val="20"/>
          <w:lang w:eastAsia="es-AR"/>
        </w:rPr>
      </w:pPr>
      <w:r w:rsidRPr="004707D9">
        <w:rPr>
          <w:rFonts w:ascii="Arial" w:eastAsia="Times New Roman" w:hAnsi="Arial" w:cs="Arial"/>
          <w:color w:val="555555"/>
          <w:sz w:val="24"/>
          <w:szCs w:val="20"/>
          <w:lang w:eastAsia="es-AR"/>
        </w:rPr>
        <w:t xml:space="preserve">-cuando el que reclama tiene resolución judicial y puede ser atendido por ante la Asesoría (dependerá de sus ingresos económicos), debe dirigirse al Asesor interviniente como pupilar o </w:t>
      </w:r>
      <w:proofErr w:type="spellStart"/>
      <w:r w:rsidRPr="004707D9">
        <w:rPr>
          <w:rFonts w:ascii="Arial" w:eastAsia="Times New Roman" w:hAnsi="Arial" w:cs="Arial"/>
          <w:color w:val="555555"/>
          <w:sz w:val="24"/>
          <w:szCs w:val="20"/>
          <w:lang w:eastAsia="es-AR"/>
        </w:rPr>
        <w:t>patrocinante</w:t>
      </w:r>
      <w:proofErr w:type="spellEnd"/>
      <w:r w:rsidRPr="004707D9">
        <w:rPr>
          <w:rFonts w:ascii="Arial" w:eastAsia="Times New Roman" w:hAnsi="Arial" w:cs="Arial"/>
          <w:color w:val="555555"/>
          <w:sz w:val="24"/>
          <w:szCs w:val="20"/>
          <w:lang w:eastAsia="es-AR"/>
        </w:rPr>
        <w:t xml:space="preserve"> en la causa, éste tomará un acta donde conste su manifestación de incumplimiento del alimentante, luego solicitará al Juez, mediante un escrito que ordene la inscripción en el Registro.-</w:t>
      </w:r>
    </w:p>
    <w:p w:rsidR="004707D9" w:rsidRPr="004707D9" w:rsidRDefault="004707D9" w:rsidP="004707D9">
      <w:pPr>
        <w:shd w:val="clear" w:color="auto" w:fill="FFFFFF"/>
        <w:spacing w:after="240" w:line="240" w:lineRule="auto"/>
        <w:textAlignment w:val="baseline"/>
        <w:outlineLvl w:val="2"/>
        <w:rPr>
          <w:rFonts w:ascii="Arial" w:eastAsia="Times New Roman" w:hAnsi="Arial" w:cs="Arial"/>
          <w:color w:val="111111"/>
          <w:sz w:val="34"/>
          <w:szCs w:val="34"/>
          <w:lang w:eastAsia="es-AR"/>
        </w:rPr>
      </w:pPr>
      <w:r w:rsidRPr="004707D9">
        <w:rPr>
          <w:rFonts w:ascii="Arial" w:eastAsia="Times New Roman" w:hAnsi="Arial" w:cs="Arial"/>
          <w:color w:val="111111"/>
          <w:sz w:val="34"/>
          <w:szCs w:val="34"/>
          <w:lang w:eastAsia="es-AR"/>
        </w:rPr>
        <w:t>Por ante el Juez que fijó los alimentos:</w:t>
      </w:r>
    </w:p>
    <w:p w:rsidR="004707D9" w:rsidRDefault="004707D9" w:rsidP="004707D9">
      <w:pPr>
        <w:shd w:val="clear" w:color="auto" w:fill="FFFFFF"/>
        <w:spacing w:after="360" w:line="240" w:lineRule="auto"/>
        <w:jc w:val="both"/>
        <w:textAlignment w:val="baseline"/>
        <w:rPr>
          <w:rFonts w:ascii="Arial" w:eastAsia="Times New Roman" w:hAnsi="Arial" w:cs="Arial"/>
          <w:color w:val="555555"/>
          <w:sz w:val="24"/>
          <w:szCs w:val="20"/>
          <w:lang w:eastAsia="es-AR"/>
        </w:rPr>
      </w:pPr>
      <w:r w:rsidRPr="004707D9">
        <w:rPr>
          <w:rFonts w:ascii="Arial" w:eastAsia="Times New Roman" w:hAnsi="Arial" w:cs="Arial"/>
          <w:color w:val="555555"/>
          <w:sz w:val="24"/>
          <w:szCs w:val="20"/>
          <w:lang w:eastAsia="es-AR"/>
        </w:rPr>
        <w:t>Si fuere con abogado particular, corresponde hacer una presentación ante el mismo juez que fijó los alimentos, con la debida constancia del incumplimiento y solicitarle ordene la inscripción.</w:t>
      </w:r>
    </w:p>
    <w:p w:rsidR="004707D9" w:rsidRDefault="004707D9" w:rsidP="004707D9">
      <w:pPr>
        <w:shd w:val="clear" w:color="auto" w:fill="FFFFFF"/>
        <w:spacing w:after="360" w:line="240" w:lineRule="auto"/>
        <w:jc w:val="both"/>
        <w:textAlignment w:val="baseline"/>
        <w:rPr>
          <w:rFonts w:ascii="Arial" w:eastAsia="Times New Roman" w:hAnsi="Arial" w:cs="Arial"/>
          <w:color w:val="555555"/>
          <w:sz w:val="24"/>
          <w:szCs w:val="20"/>
          <w:lang w:eastAsia="es-AR"/>
        </w:rPr>
      </w:pPr>
      <w:r>
        <w:rPr>
          <w:rFonts w:ascii="Arial" w:eastAsia="Times New Roman" w:hAnsi="Arial" w:cs="Arial"/>
          <w:color w:val="555555"/>
          <w:sz w:val="24"/>
          <w:szCs w:val="20"/>
          <w:lang w:eastAsia="es-AR"/>
        </w:rPr>
        <w:t>E</w:t>
      </w:r>
      <w:r w:rsidRPr="004707D9">
        <w:rPr>
          <w:rFonts w:ascii="Arial" w:eastAsia="Times New Roman" w:hAnsi="Arial" w:cs="Arial"/>
          <w:color w:val="555555"/>
          <w:sz w:val="24"/>
          <w:szCs w:val="20"/>
          <w:lang w:eastAsia="es-AR"/>
        </w:rPr>
        <w:t>l Juez ante ésa presentación, ordenará directamente la inscripción o lo intimará previamente al incumplidor a que regularice su deuda.</w:t>
      </w:r>
    </w:p>
    <w:p w:rsidR="004707D9" w:rsidRPr="004707D9" w:rsidRDefault="004707D9" w:rsidP="004707D9">
      <w:pPr>
        <w:shd w:val="clear" w:color="auto" w:fill="FFFFFF"/>
        <w:spacing w:after="360" w:line="240" w:lineRule="auto"/>
        <w:jc w:val="both"/>
        <w:textAlignment w:val="baseline"/>
        <w:rPr>
          <w:rFonts w:ascii="Arial" w:eastAsia="Times New Roman" w:hAnsi="Arial" w:cs="Arial"/>
          <w:color w:val="555555"/>
          <w:sz w:val="24"/>
          <w:szCs w:val="20"/>
          <w:lang w:eastAsia="es-AR"/>
        </w:rPr>
      </w:pPr>
      <w:r w:rsidRPr="004707D9">
        <w:rPr>
          <w:rFonts w:ascii="Arial" w:eastAsia="Times New Roman" w:hAnsi="Arial" w:cs="Arial"/>
          <w:color w:val="555555"/>
          <w:sz w:val="24"/>
          <w:szCs w:val="20"/>
          <w:lang w:eastAsia="es-AR"/>
        </w:rPr>
        <w:t xml:space="preserve">Recibido el oficio por el </w:t>
      </w:r>
      <w:proofErr w:type="spellStart"/>
      <w:r w:rsidRPr="004707D9">
        <w:rPr>
          <w:rFonts w:ascii="Arial" w:eastAsia="Times New Roman" w:hAnsi="Arial" w:cs="Arial"/>
          <w:color w:val="555555"/>
          <w:sz w:val="24"/>
          <w:szCs w:val="20"/>
          <w:lang w:eastAsia="es-AR"/>
        </w:rPr>
        <w:t>ReDAM</w:t>
      </w:r>
      <w:proofErr w:type="spellEnd"/>
      <w:r w:rsidRPr="004707D9">
        <w:rPr>
          <w:rFonts w:ascii="Arial" w:eastAsia="Times New Roman" w:hAnsi="Arial" w:cs="Arial"/>
          <w:color w:val="555555"/>
          <w:sz w:val="24"/>
          <w:szCs w:val="20"/>
          <w:lang w:eastAsia="es-AR"/>
        </w:rPr>
        <w:t>, se anotan en el Libro de Inscripciones todos los datos que surgen del oficio, se forma la Base de Datos y luego se comunica a todos los organismos públicos obligados a aplicar las sanciones.</w:t>
      </w:r>
      <w:bookmarkStart w:id="0" w:name="_GoBack"/>
      <w:bookmarkEnd w:id="0"/>
    </w:p>
    <w:p w:rsidR="000B3B93" w:rsidRDefault="000B3B93"/>
    <w:sectPr w:rsidR="000B3B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F5583C"/>
    <w:multiLevelType w:val="hybridMultilevel"/>
    <w:tmpl w:val="813E9F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7D9"/>
    <w:rsid w:val="000B3B93"/>
    <w:rsid w:val="004707D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13784-18C5-4681-A11A-0E599F42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4707D9"/>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707D9"/>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4707D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4707D9"/>
  </w:style>
  <w:style w:type="paragraph" w:styleId="Prrafodelista">
    <w:name w:val="List Paragraph"/>
    <w:basedOn w:val="Normal"/>
    <w:uiPriority w:val="34"/>
    <w:qFormat/>
    <w:rsid w:val="00470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1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275</Words>
  <Characters>1514</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dc:creator>
  <cp:keywords/>
  <dc:description/>
  <cp:lastModifiedBy>Mercedes</cp:lastModifiedBy>
  <cp:revision>1</cp:revision>
  <dcterms:created xsi:type="dcterms:W3CDTF">2016-12-14T06:05:00Z</dcterms:created>
  <dcterms:modified xsi:type="dcterms:W3CDTF">2016-12-14T06:10:00Z</dcterms:modified>
</cp:coreProperties>
</file>